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4"/>
          <w:szCs w:val="24"/>
          <w:lang w:val="pl-PL"/>
        </w:rPr>
        <w:t>Dla kogo Program „WSPIERAMY”?</w:t>
      </w:r>
    </w:p>
    <w:p>
      <w:pPr>
        <w:pStyle w:val="Normal"/>
        <w:jc w:val="both"/>
        <w:rPr/>
      </w:pPr>
      <w:r>
        <w:rPr>
          <w:sz w:val="24"/>
          <w:szCs w:val="24"/>
          <w:lang w:val="pl-PL"/>
        </w:rPr>
        <w:t>Realizacja Programu „WSPIERAMY - Siemianowicki program wsparcia i poprawy jakości życia osób z niepełnosprawnościami” przyczyni się do przełamywania barier ograniczających możliwości tych rodzin do pełnego uczestnictwa w procesie rehabilitacji, edukacji, wzmocni uczestnictwo w życiu społecznym oraz funkcjonalną i ekonomiczną ich sytuację.</w:t>
      </w:r>
    </w:p>
    <w:p>
      <w:pPr>
        <w:pStyle w:val="Normal"/>
        <w:jc w:val="both"/>
        <w:rPr>
          <w:color w:val="000000" w:themeColor="text1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Program jest odpowiedzią na potrzebę ochrony i pomocy najbardziej potrzebujących rodzin wychowujących dzieci z niepełnosprawnościami oraz rodzin, które sprawują opiekę nad osobami powyżej 16 roku życia z niepełnosprawnością sprzężoną wymagających całodobowej opieki.</w:t>
      </w:r>
    </w:p>
    <w:p>
      <w:pPr>
        <w:pStyle w:val="Normal"/>
        <w:jc w:val="both"/>
        <w:rPr>
          <w:lang w:val="pl-PL"/>
        </w:rPr>
      </w:pPr>
      <w:r>
        <w:rPr>
          <w:sz w:val="24"/>
          <w:szCs w:val="24"/>
          <w:lang w:val="pl-PL"/>
        </w:rPr>
        <w:t>Dzięki realizacji Programu funkcjonujące od wielu lat instrumenty systemu wsparcia, zostaną uzupełnione o dodatkowe rozwiązanie finansowe dedykowane osobom o szczególnych potrzebach.</w:t>
      </w:r>
    </w:p>
    <w:p>
      <w:pPr>
        <w:pStyle w:val="Normal"/>
        <w:jc w:val="both"/>
        <w:rPr/>
      </w:pPr>
      <w:r>
        <w:rPr>
          <w:sz w:val="24"/>
          <w:szCs w:val="24"/>
          <w:lang w:val="pl-PL"/>
        </w:rPr>
        <w:t>Należy podkreślić, że Program ten wpisuje się w ramy realizowanej polityki działań na rzecz środowiska osób z niepełnosprawnościami, w tym jest kolejną inicjatywą realizowaną w naszym mieście, która skierowana jest do osób z niepełnosprawnościami, po za Asystentem Osoby Niepełnosprawnej – edycja 2021 i Opieką Wytchnieniową – edycja 2021 (mieszkaniem chronionym</w:t>
      </w:r>
      <w:r>
        <w:rPr>
          <w:rFonts w:eastAsia="Segoe UI Emoji" w:cs="Segoe UI Emoji"/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, wsparciem z rehabilitacji zawodowej i społecznej finansowanej ze środków PFRON, Programem wyrównywania różnic między regionami III – obszar G).</w:t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Grupa docelowa: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>dzieci do ukończenia 16 roku życia:</w:t>
      </w:r>
    </w:p>
    <w:p>
      <w:pPr>
        <w:pStyle w:val="ListParagraph"/>
        <w:jc w:val="both"/>
        <w:rPr>
          <w:lang w:val="pl-PL"/>
        </w:rPr>
      </w:pPr>
      <w:r>
        <w:rPr>
          <w:sz w:val="24"/>
          <w:szCs w:val="24"/>
          <w:lang w:val="pl-PL"/>
        </w:rPr>
        <w:t>- orzeczenie o niepełnosprawności;</w:t>
      </w:r>
    </w:p>
    <w:p>
      <w:pPr>
        <w:pStyle w:val="ListParagraph"/>
        <w:jc w:val="both"/>
        <w:rPr>
          <w:lang w:val="pl-PL"/>
        </w:rPr>
      </w:pPr>
      <w:r>
        <w:rPr>
          <w:sz w:val="24"/>
          <w:szCs w:val="24"/>
          <w:lang w:val="pl-PL"/>
        </w:rPr>
        <w:t>- symbole przyczyn niepełnosprawności (symbol przyczyny niepełnosprawności zawarty w orzeczeniu o niepełnosprawności, stopniu niepełnosprawności lub wskazaniach do ulg i uprawnień odzwierciedla rozpoznanie choroby, która powoduje zaburzenia funkcji organizmu oraz ogranicza wykonywanie czynności życiowych i aktywności społecznej)</w:t>
      </w:r>
    </w:p>
    <w:p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10-N – </w:t>
      </w:r>
      <w:r>
        <w:rPr>
          <w:b/>
          <w:bCs/>
          <w:sz w:val="24"/>
          <w:szCs w:val="24"/>
          <w:lang w:val="pl-PL"/>
        </w:rPr>
        <w:t>choroby neurologiczne</w:t>
      </w:r>
      <w:r>
        <w:rPr>
          <w:sz w:val="24"/>
          <w:szCs w:val="24"/>
          <w:lang w:val="pl-PL"/>
        </w:rPr>
        <w:t>, w tym naczyniopochodny udar mózgu, guzy centralnego układu nerwowego, pourazowa cerebrastenia i encefalopatia, choroby zapalne ośrodkowego i obwodowego układu nerwowego, choroby układu pozapiramidowego, choroby rdzenia kręgowego, choroby rdzenia kręgowego, uszkodzenia nerwów czaszkowych i obwodowych i inne;</w:t>
      </w:r>
    </w:p>
    <w:p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05-R – </w:t>
      </w:r>
      <w:r>
        <w:rPr>
          <w:b/>
          <w:bCs/>
          <w:sz w:val="24"/>
          <w:szCs w:val="24"/>
          <w:lang w:val="pl-PL"/>
        </w:rPr>
        <w:t>upośledzenie narządu ruchu</w:t>
      </w:r>
      <w:r>
        <w:rPr>
          <w:sz w:val="24"/>
          <w:szCs w:val="24"/>
          <w:lang w:val="pl-PL"/>
        </w:rPr>
        <w:t>, w tym m.in. wady wrodzone i rozwojowe narządu ruchu, układowe choroby tkanki łącznej, zapalenie stawów z towarzyszącym zapaleniem stawów kręgosłupa, choroby zwyrodnieniowe stawów, choroby kości i chrząstek, nowotwory narządu ruchu czy amputacje oraz wiele innych schorzeń w obrębie narządu ruchu;</w:t>
      </w:r>
    </w:p>
    <w:p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01-U - </w:t>
      </w:r>
      <w:r>
        <w:rPr>
          <w:b/>
          <w:bCs/>
          <w:sz w:val="24"/>
          <w:szCs w:val="24"/>
          <w:lang w:val="pl-PL"/>
        </w:rPr>
        <w:t>upośledzenie umysłowe</w:t>
      </w:r>
      <w:r>
        <w:rPr>
          <w:sz w:val="24"/>
          <w:szCs w:val="24"/>
          <w:lang w:val="pl-PL"/>
        </w:rPr>
        <w:t xml:space="preserve"> – </w:t>
      </w:r>
      <w:r>
        <w:rPr>
          <w:color w:val="00B0F0"/>
          <w:sz w:val="24"/>
          <w:szCs w:val="24"/>
          <w:lang w:val="pl-PL"/>
        </w:rPr>
        <w:t xml:space="preserve">prawidłowe określenie </w:t>
      </w:r>
      <w:r>
        <w:rPr>
          <w:b/>
          <w:bCs/>
          <w:sz w:val="24"/>
          <w:szCs w:val="24"/>
          <w:lang w:val="pl-PL"/>
        </w:rPr>
        <w:t>niepełnosprawność intelektualna.</w:t>
      </w:r>
      <w:r>
        <w:rPr>
          <w:sz w:val="24"/>
          <w:szCs w:val="24"/>
          <w:lang w:val="pl-PL"/>
        </w:rPr>
        <w:t xml:space="preserve"> W klasyfikacji zaburzeń rozwoju intelektualnego używa się kryterium IQ w skali Wechslera, gdzie ze względu na ww. kryterium rozróżniane są rodzaje upośledzenia: lekkie, umiarkowane i znaczne – </w:t>
      </w:r>
      <w:r>
        <w:rPr>
          <w:color w:val="00B0F0"/>
          <w:sz w:val="24"/>
          <w:szCs w:val="24"/>
          <w:lang w:val="pl-PL"/>
        </w:rPr>
        <w:t>istnieje jeszcze głębokie, ale nie w systemie orzecznictwa MZON.</w:t>
      </w:r>
    </w:p>
    <w:p>
      <w:pPr>
        <w:pStyle w:val="ListParagraph"/>
        <w:numPr>
          <w:ilvl w:val="0"/>
          <w:numId w:val="2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12 C - </w:t>
      </w:r>
      <w:r>
        <w:rPr>
          <w:b/>
          <w:bCs/>
          <w:sz w:val="24"/>
          <w:szCs w:val="24"/>
          <w:lang w:val="pl-PL"/>
        </w:rPr>
        <w:t>całościowe zaburzenia rozwojowe,</w:t>
      </w:r>
      <w:r>
        <w:rPr>
          <w:sz w:val="24"/>
          <w:szCs w:val="24"/>
          <w:lang w:val="pl-PL"/>
        </w:rPr>
        <w:t xml:space="preserve"> powstałe przed 16. rokiem życia, z utrwalonymi zaburzeniami interakcji społecznych lub komunikacji werbalnej oraz stereotypiami zachowań, zainteresowań i aktywności o co najmniej umiarkowanym stopniu nasilenia, np.</w:t>
      </w:r>
      <w:r>
        <w:rPr>
          <w:b/>
          <w:bCs/>
          <w:sz w:val="24"/>
          <w:szCs w:val="24"/>
          <w:lang w:val="pl-PL"/>
        </w:rPr>
        <w:t xml:space="preserve"> autyzm</w:t>
      </w:r>
    </w:p>
    <w:p>
      <w:pPr>
        <w:pStyle w:val="Normal"/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W przypadku osób orzekanych do 16 roku życia, jest tak, że każde dziecko, które wymaga stałej lub długotrwałej opieki lub pomocy innej osoby w związku ze znacznie ograniczoną możliwością samodzielnej egzystencji oraz </w:t>
      </w:r>
      <w:r>
        <w:rPr>
          <w:b/>
          <w:bCs/>
          <w:sz w:val="24"/>
          <w:szCs w:val="24"/>
          <w:lang w:val="pl-PL"/>
        </w:rPr>
        <w:t>konieczności stałego współudziału na co dzień rodzica/opiekuna w procesie jego leczenia, rehabilitacji i edukacji</w:t>
      </w:r>
      <w:r>
        <w:rPr>
          <w:sz w:val="24"/>
          <w:szCs w:val="24"/>
          <w:lang w:val="pl-PL"/>
        </w:rPr>
        <w:t xml:space="preserve"> ma wskazania w orzeczeniu polegające na tym, że w pkt 7 i 8 wpisuje się „wymaga”. </w:t>
      </w:r>
    </w:p>
    <w:p>
      <w:pPr>
        <w:pStyle w:val="Normal"/>
        <w:jc w:val="both"/>
        <w:rPr>
          <w:lang w:val="pl-PL"/>
        </w:rPr>
      </w:pPr>
      <w:r>
        <w:rPr>
          <w:sz w:val="24"/>
          <w:szCs w:val="24"/>
          <w:lang w:val="pl-PL"/>
        </w:rPr>
        <w:t>W tym przypadku często jeden z rodziców rezygnuje z pracy, aby opiekować się dzieckiem z niepełnosprawnością lub w ogóle nie może jej podjąć.</w:t>
      </w:r>
    </w:p>
    <w:p>
      <w:pPr>
        <w:pStyle w:val="Normal"/>
        <w:jc w:val="both"/>
        <w:rPr>
          <w:b/>
          <w:b/>
          <w:bCs/>
          <w:lang w:val="pl-PL"/>
        </w:rPr>
      </w:pPr>
      <w:r>
        <w:rPr>
          <w:b/>
          <w:bCs/>
          <w:sz w:val="24"/>
          <w:szCs w:val="24"/>
          <w:lang w:val="pl-PL"/>
        </w:rPr>
        <w:t>Świadczenie dla opiekunów</w:t>
      </w:r>
    </w:p>
    <w:p>
      <w:pPr>
        <w:pStyle w:val="Normal"/>
        <w:jc w:val="both"/>
        <w:rPr>
          <w:lang w:val="pl-PL"/>
        </w:rPr>
      </w:pPr>
      <w:r>
        <w:rPr>
          <w:sz w:val="24"/>
          <w:szCs w:val="24"/>
          <w:lang w:val="pl-PL"/>
        </w:rPr>
        <w:t>Świadczenie pielęgnacyjne to jedno ze świadczeń opiekuńczych, które wypłacane jest osobom sprawującym pieczę nad niepełnosprawnymi członkami rodzin. Środki przysługują każdemu, kto zrezygnował z pracy zarobkowej lub nie może jej podjąć z faktu sprawowanej opieki – wysokość świadczenia obecnie to 1971 zł miesięcznie.</w:t>
      </w:r>
    </w:p>
    <w:p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sz w:val="24"/>
          <w:szCs w:val="24"/>
          <w:lang w:val="pl-PL"/>
        </w:rPr>
        <w:t>osoby powyżej 16 roku życia:</w:t>
      </w:r>
    </w:p>
    <w:p>
      <w:pPr>
        <w:pStyle w:val="Normal"/>
        <w:ind w:firstLine="360"/>
        <w:jc w:val="both"/>
        <w:rPr>
          <w:lang w:val="pl-PL"/>
        </w:rPr>
      </w:pPr>
      <w:r>
        <w:rPr>
          <w:sz w:val="24"/>
          <w:szCs w:val="24"/>
          <w:lang w:val="pl-PL"/>
        </w:rPr>
        <w:t>- orzeczenie o stopniu niepełnosprawności:</w:t>
      </w:r>
    </w:p>
    <w:p>
      <w:pPr>
        <w:pStyle w:val="Normal"/>
        <w:ind w:firstLine="360"/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- stopień </w:t>
      </w:r>
      <w:r>
        <w:rPr>
          <w:b/>
          <w:bCs/>
          <w:sz w:val="24"/>
          <w:szCs w:val="24"/>
          <w:lang w:val="pl-PL"/>
        </w:rPr>
        <w:t>„Znacznym”</w:t>
      </w:r>
      <w:r>
        <w:rPr>
          <w:sz w:val="24"/>
          <w:szCs w:val="24"/>
          <w:lang w:val="pl-PL"/>
        </w:rPr>
        <w:t xml:space="preserve"> (odpowiednik pierwszej grupy inwalidztwa w przypadku orzeczenia Komisji lekarskiej ZUS) </w:t>
      </w:r>
      <w:r>
        <w:rPr>
          <w:b/>
          <w:bCs/>
          <w:sz w:val="24"/>
          <w:szCs w:val="24"/>
          <w:lang w:val="pl-PL"/>
        </w:rPr>
        <w:t>Do znacznego stopnia</w:t>
      </w:r>
      <w:r>
        <w:rPr>
          <w:sz w:val="24"/>
          <w:szCs w:val="24"/>
          <w:lang w:val="pl-PL"/>
        </w:rPr>
        <w:t xml:space="preserve">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  <w:lang w:val="pl-PL"/>
        </w:rPr>
        <w:t>Wskazanie „wymaga” w punkcie 7 w orzeczeniu o stopniu niepełnosprawności tj. „konieczności stałej lub długotrwałej opieki lub pomocy innej osoby w związku ze znacznie ograniczoną możliwością samodzielnej egzystencji” oraz informacja o okresie powstania niepełnosprawności tj. od urodzenia/od wczesnego dzieciństwa/dzieciństwa/ niemowlęctwa oraz niepełnosprawność sprzężona wskazuje na konieczność opieki nad osobą z niepełnosprawnościami.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4494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LibreOffice/6.2.4.2$Windows_X86_64 LibreOffice_project/2412653d852ce75f65fbfa83fb7e7b669a126d64</Application>
  <Pages>2</Pages>
  <Words>625</Words>
  <Characters>4250</Characters>
  <CharactersWithSpaces>4857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2021-08-22T14:03:00Z</dcterms:created>
  <dc:creator>Sabina</dc:creator>
  <dc:description/>
  <dc:language>pl-PL</dc:language>
  <cp:lastModifiedBy/>
  <dcterms:modified xsi:type="dcterms:W3CDTF">2021-08-30T13:45:29Z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